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4D470AD5" w:rsidR="00C1376E" w:rsidRPr="00983A81" w:rsidRDefault="001A2AEF" w:rsidP="00C1376E">
      <w:pPr>
        <w:autoSpaceDE w:val="0"/>
        <w:autoSpaceDN w:val="0"/>
        <w:adjustRightInd w:val="0"/>
        <w:jc w:val="both"/>
        <w:rPr>
          <w:rFonts w:eastAsia="Batang"/>
          <w:szCs w:val="24"/>
        </w:rPr>
      </w:pPr>
      <w:r>
        <w:rPr>
          <w:rFonts w:eastAsia="Batang"/>
          <w:szCs w:val="24"/>
        </w:rPr>
        <w:t>Днес, …</w:t>
      </w:r>
      <w:r>
        <w:rPr>
          <w:rFonts w:eastAsia="Batang"/>
          <w:szCs w:val="24"/>
          <w:lang w:val="en-US"/>
        </w:rPr>
        <w:t>…</w:t>
      </w:r>
      <w:r w:rsidR="005E2B95">
        <w:rPr>
          <w:rFonts w:eastAsia="Batang"/>
          <w:szCs w:val="24"/>
        </w:rPr>
        <w:t xml:space="preserve">.04.2021 </w:t>
      </w:r>
      <w:r w:rsidR="00C1376E" w:rsidRPr="00983A81">
        <w:rPr>
          <w:rFonts w:eastAsia="Batang"/>
          <w:szCs w:val="24"/>
        </w:rPr>
        <w:t>г., в гр.</w:t>
      </w:r>
      <w:r w:rsidR="0097697F">
        <w:rPr>
          <w:rFonts w:eastAsia="Batang"/>
          <w:szCs w:val="24"/>
        </w:rPr>
        <w:t xml:space="preserve"> Враца</w:t>
      </w:r>
      <w:r w:rsidR="00C1376E"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597753F3" w14:textId="77777777" w:rsidR="00863245" w:rsidRPr="00983A81" w:rsidRDefault="00863245" w:rsidP="00863245">
      <w:pPr>
        <w:autoSpaceDE w:val="0"/>
        <w:autoSpaceDN w:val="0"/>
        <w:adjustRightInd w:val="0"/>
        <w:jc w:val="both"/>
        <w:rPr>
          <w:rFonts w:eastAsia="Calibri"/>
          <w:b/>
          <w:szCs w:val="24"/>
          <w:lang w:eastAsia="en-US"/>
        </w:rPr>
      </w:pPr>
      <w:r>
        <w:rPr>
          <w:rFonts w:eastAsia="Calibri"/>
          <w:szCs w:val="24"/>
          <w:lang w:eastAsia="en-US"/>
        </w:rPr>
        <w:t>„.ФЬОНИКС ФАРМА ЕООД”, със седалище и адрес на управление:</w:t>
      </w:r>
      <w:r w:rsidRPr="001A531E">
        <w:t xml:space="preserve"> </w:t>
      </w:r>
      <w:r w:rsidRPr="001A531E">
        <w:rPr>
          <w:rFonts w:eastAsia="Calibri"/>
          <w:szCs w:val="24"/>
          <w:lang w:eastAsia="en-US"/>
        </w:rPr>
        <w:t>ул. Околовръстен път № 199А</w:t>
      </w:r>
      <w:r>
        <w:rPr>
          <w:rFonts w:eastAsia="Calibri"/>
          <w:szCs w:val="24"/>
          <w:lang w:eastAsia="en-US"/>
        </w:rPr>
        <w:t xml:space="preserve">, ЕИК </w:t>
      </w:r>
      <w:r w:rsidRPr="001A531E">
        <w:rPr>
          <w:rFonts w:eastAsia="Calibri"/>
          <w:szCs w:val="24"/>
          <w:lang w:eastAsia="en-US"/>
        </w:rPr>
        <w:t>203283623</w:t>
      </w:r>
      <w:r>
        <w:rPr>
          <w:rFonts w:eastAsia="Calibri"/>
          <w:szCs w:val="24"/>
          <w:lang w:eastAsia="en-US"/>
        </w:rPr>
        <w:t>, представлявано от Веселин Кунев, управител</w:t>
      </w:r>
      <w: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ИЗПЪЛНИТЕЛ</w:t>
      </w:r>
      <w:r>
        <w:rPr>
          <w:rFonts w:eastAsia="Calibri"/>
          <w:b/>
          <w:bCs/>
          <w:szCs w:val="24"/>
          <w:lang w:eastAsia="en-US"/>
        </w:rPr>
        <w:t>“</w:t>
      </w:r>
      <w:r w:rsidRPr="00983A81">
        <w:rPr>
          <w:rFonts w:eastAsia="Calibri"/>
          <w:b/>
          <w:bCs/>
          <w:szCs w:val="24"/>
          <w:lang w:eastAsia="en-US"/>
        </w:rPr>
        <w:t xml:space="preserve"> </w:t>
      </w:r>
      <w:r w:rsidRPr="00983A81">
        <w:rPr>
          <w:rFonts w:eastAsia="Calibri"/>
          <w:bCs/>
          <w:szCs w:val="24"/>
          <w:lang w:eastAsia="en-US"/>
        </w:rPr>
        <w:t>от друга страна,</w:t>
      </w:r>
    </w:p>
    <w:p w14:paraId="74493A32" w14:textId="2F362985" w:rsidR="00A84838" w:rsidRPr="00983A81" w:rsidRDefault="00A84838" w:rsidP="00EF06D9">
      <w:pPr>
        <w:autoSpaceDE w:val="0"/>
        <w:autoSpaceDN w:val="0"/>
        <w:adjustRightInd w:val="0"/>
        <w:jc w:val="both"/>
        <w:rPr>
          <w:rFonts w:eastAsia="Calibri"/>
          <w:b/>
          <w:szCs w:val="24"/>
          <w:lang w:eastAsia="en-US"/>
        </w:rPr>
      </w:pP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447F0252"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6B2B68">
        <w:rPr>
          <w:rFonts w:eastAsia="Calibri"/>
          <w:bCs/>
          <w:szCs w:val="24"/>
          <w:lang w:eastAsia="en-US"/>
        </w:rPr>
        <w:t>о споразумение</w:t>
      </w:r>
      <w:r w:rsidR="001439B6" w:rsidRPr="00983A81">
        <w:rPr>
          <w:rFonts w:eastAsia="Calibri"/>
          <w:bCs/>
          <w:szCs w:val="24"/>
          <w:lang w:eastAsia="en-US"/>
        </w:rPr>
        <w:t xml:space="preserve"> </w:t>
      </w:r>
      <w:r w:rsidR="006B2B68">
        <w:rPr>
          <w:rFonts w:eastAsia="Calibri"/>
          <w:bCs/>
          <w:szCs w:val="24"/>
          <w:lang w:eastAsia="en-US"/>
        </w:rPr>
        <w:t xml:space="preserve">№ </w:t>
      </w:r>
      <w:r w:rsidR="001A2AEF">
        <w:t>РД-11-110</w:t>
      </w:r>
      <w:r w:rsidR="006B2B68">
        <w:t>/01.0</w:t>
      </w:r>
      <w:r w:rsidR="001A2AEF">
        <w:rPr>
          <w:lang w:val="en-US"/>
        </w:rPr>
        <w:t>3</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863245" w:rsidRPr="006D0E9A" w14:paraId="15C95E5C" w14:textId="77777777" w:rsidTr="00370F96">
        <w:tc>
          <w:tcPr>
            <w:tcW w:w="519" w:type="dxa"/>
            <w:shd w:val="clear" w:color="auto" w:fill="auto"/>
          </w:tcPr>
          <w:p w14:paraId="5717E23D" w14:textId="77777777" w:rsidR="00863245" w:rsidRPr="00C90580" w:rsidRDefault="00863245" w:rsidP="00863245">
            <w:pPr>
              <w:spacing w:line="480" w:lineRule="auto"/>
              <w:jc w:val="both"/>
              <w:rPr>
                <w:bCs/>
              </w:rPr>
            </w:pPr>
            <w:r w:rsidRPr="00C90580">
              <w:rPr>
                <w:bCs/>
              </w:rPr>
              <w:t>1</w:t>
            </w:r>
          </w:p>
        </w:tc>
        <w:tc>
          <w:tcPr>
            <w:tcW w:w="2497" w:type="dxa"/>
            <w:shd w:val="clear" w:color="auto" w:fill="auto"/>
          </w:tcPr>
          <w:p w14:paraId="4A4F1AEC" w14:textId="7D8DE9A7" w:rsidR="00863245" w:rsidRPr="00C90580" w:rsidRDefault="00863245" w:rsidP="00863245">
            <w:pPr>
              <w:spacing w:line="480" w:lineRule="auto"/>
              <w:jc w:val="both"/>
              <w:rPr>
                <w:bCs/>
              </w:rPr>
            </w:pPr>
            <w:r>
              <w:rPr>
                <w:rFonts w:ascii="Arial" w:hAnsi="Arial" w:cs="Arial"/>
                <w:color w:val="000000"/>
                <w:sz w:val="23"/>
                <w:szCs w:val="23"/>
                <w:shd w:val="clear" w:color="auto" w:fill="FFFFFF"/>
              </w:rPr>
              <w:t>R03AC02</w:t>
            </w:r>
          </w:p>
        </w:tc>
        <w:tc>
          <w:tcPr>
            <w:tcW w:w="1868" w:type="dxa"/>
            <w:shd w:val="clear" w:color="auto" w:fill="auto"/>
          </w:tcPr>
          <w:p w14:paraId="57C8A4A1" w14:textId="484996D1" w:rsidR="00863245" w:rsidRPr="00C90580" w:rsidRDefault="00863245" w:rsidP="00863245">
            <w:pPr>
              <w:spacing w:line="480" w:lineRule="auto"/>
              <w:jc w:val="both"/>
              <w:rPr>
                <w:bCs/>
              </w:rPr>
            </w:pPr>
            <w:proofErr w:type="spellStart"/>
            <w:r>
              <w:rPr>
                <w:rFonts w:ascii="Arial" w:hAnsi="Arial" w:cs="Arial"/>
                <w:color w:val="000000"/>
                <w:sz w:val="23"/>
                <w:szCs w:val="23"/>
                <w:shd w:val="clear" w:color="auto" w:fill="FFFFFF"/>
              </w:rPr>
              <w:t>Salbutamol</w:t>
            </w:r>
            <w:proofErr w:type="spellEnd"/>
          </w:p>
        </w:tc>
        <w:tc>
          <w:tcPr>
            <w:tcW w:w="1730" w:type="dxa"/>
            <w:shd w:val="clear" w:color="auto" w:fill="auto"/>
          </w:tcPr>
          <w:p w14:paraId="4760869C" w14:textId="4A2BA02C" w:rsidR="00863245" w:rsidRPr="00C90580" w:rsidRDefault="00863245" w:rsidP="00863245">
            <w:pPr>
              <w:spacing w:line="480" w:lineRule="auto"/>
              <w:jc w:val="both"/>
              <w:rPr>
                <w:bCs/>
              </w:rPr>
            </w:pPr>
            <w:proofErr w:type="spellStart"/>
            <w:r>
              <w:rPr>
                <w:rFonts w:ascii="Arial" w:hAnsi="Arial" w:cs="Arial"/>
                <w:color w:val="000000"/>
                <w:sz w:val="23"/>
                <w:szCs w:val="23"/>
                <w:shd w:val="clear" w:color="auto" w:fill="FFFFFF"/>
              </w:rPr>
              <w:t>инхалаторна</w:t>
            </w:r>
            <w:proofErr w:type="spellEnd"/>
          </w:p>
        </w:tc>
        <w:tc>
          <w:tcPr>
            <w:tcW w:w="1550" w:type="dxa"/>
            <w:shd w:val="clear" w:color="auto" w:fill="auto"/>
          </w:tcPr>
          <w:p w14:paraId="5D18EB82" w14:textId="06ACA66F" w:rsidR="00863245" w:rsidRPr="00C90580" w:rsidRDefault="00863245" w:rsidP="00863245">
            <w:pPr>
              <w:spacing w:line="480" w:lineRule="auto"/>
              <w:jc w:val="both"/>
              <w:rPr>
                <w:bCs/>
              </w:rPr>
            </w:pPr>
            <w:proofErr w:type="spellStart"/>
            <w:r w:rsidRPr="00C90580">
              <w:rPr>
                <w:bCs/>
              </w:rPr>
              <w:t>mg</w:t>
            </w:r>
            <w:proofErr w:type="spellEnd"/>
          </w:p>
        </w:tc>
        <w:tc>
          <w:tcPr>
            <w:tcW w:w="1549" w:type="dxa"/>
            <w:shd w:val="clear" w:color="auto" w:fill="auto"/>
          </w:tcPr>
          <w:p w14:paraId="200FB617" w14:textId="287999C3" w:rsidR="00863245" w:rsidRPr="006D0E9A" w:rsidRDefault="00863245" w:rsidP="00863245">
            <w:pPr>
              <w:spacing w:line="480" w:lineRule="auto"/>
              <w:jc w:val="both"/>
              <w:rPr>
                <w:bCs/>
              </w:rPr>
            </w:pPr>
            <w:r>
              <w:rPr>
                <w:bCs/>
              </w:rPr>
              <w:t>840</w:t>
            </w:r>
          </w:p>
        </w:tc>
      </w:tr>
      <w:tr w:rsidR="00863245" w:rsidRPr="006D0E9A" w14:paraId="55CF2911" w14:textId="77777777" w:rsidTr="006B2B68">
        <w:tc>
          <w:tcPr>
            <w:tcW w:w="519" w:type="dxa"/>
            <w:tcBorders>
              <w:top w:val="single" w:sz="4" w:space="0" w:color="auto"/>
              <w:left w:val="single" w:sz="4" w:space="0" w:color="auto"/>
              <w:bottom w:val="single" w:sz="4" w:space="0" w:color="auto"/>
              <w:right w:val="single" w:sz="4" w:space="0" w:color="auto"/>
            </w:tcBorders>
            <w:shd w:val="clear" w:color="auto" w:fill="auto"/>
          </w:tcPr>
          <w:p w14:paraId="265E7E75" w14:textId="60105B4E" w:rsidR="00863245" w:rsidRPr="00C90580" w:rsidRDefault="00863245" w:rsidP="00863245">
            <w:pPr>
              <w:spacing w:line="480" w:lineRule="auto"/>
              <w:jc w:val="both"/>
              <w:rPr>
                <w:bCs/>
              </w:rPr>
            </w:pPr>
            <w:r>
              <w:rPr>
                <w:bCs/>
              </w:rPr>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12261CA8" w14:textId="4EB29C79" w:rsidR="00863245" w:rsidRPr="00C90580" w:rsidRDefault="00863245" w:rsidP="00863245">
            <w:pPr>
              <w:spacing w:line="480" w:lineRule="auto"/>
              <w:jc w:val="both"/>
              <w:rPr>
                <w:bCs/>
              </w:rPr>
            </w:pPr>
            <w:r>
              <w:rPr>
                <w:rFonts w:ascii="Arial" w:hAnsi="Arial" w:cs="Arial"/>
                <w:color w:val="000000"/>
                <w:sz w:val="23"/>
                <w:szCs w:val="23"/>
                <w:shd w:val="clear" w:color="auto" w:fill="FFFFFF"/>
              </w:rPr>
              <w:t>V03AB15</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B261DD0" w14:textId="35299A76" w:rsidR="00863245" w:rsidRPr="00C90580" w:rsidRDefault="00863245" w:rsidP="00863245">
            <w:pPr>
              <w:spacing w:line="480" w:lineRule="auto"/>
              <w:jc w:val="both"/>
              <w:rPr>
                <w:bCs/>
              </w:rPr>
            </w:pPr>
            <w:proofErr w:type="spellStart"/>
            <w:r>
              <w:rPr>
                <w:rFonts w:ascii="Arial" w:hAnsi="Arial" w:cs="Arial"/>
                <w:color w:val="000000"/>
                <w:sz w:val="23"/>
                <w:szCs w:val="23"/>
                <w:shd w:val="clear" w:color="auto" w:fill="FFFFFF"/>
              </w:rPr>
              <w:t>Naloxone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052AB06" w14:textId="181765CE" w:rsidR="00863245" w:rsidRPr="00C90580" w:rsidRDefault="00863245" w:rsidP="00863245">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5E77E5B0" w14:textId="54A94782" w:rsidR="00863245" w:rsidRPr="00C90580" w:rsidRDefault="00863245" w:rsidP="00863245">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8B368FB" w14:textId="7D291E7D" w:rsidR="00863245" w:rsidRPr="006D0E9A" w:rsidRDefault="00863245" w:rsidP="00863245">
            <w:pPr>
              <w:spacing w:line="480" w:lineRule="auto"/>
              <w:jc w:val="both"/>
              <w:rPr>
                <w:bCs/>
              </w:rPr>
            </w:pPr>
            <w:r>
              <w:rPr>
                <w:bCs/>
              </w:rPr>
              <w:t>70</w:t>
            </w:r>
          </w:p>
        </w:tc>
      </w:tr>
      <w:tr w:rsidR="00863245" w:rsidRPr="006D0E9A" w14:paraId="614D448A" w14:textId="77777777" w:rsidTr="00863245">
        <w:tc>
          <w:tcPr>
            <w:tcW w:w="519" w:type="dxa"/>
            <w:tcBorders>
              <w:top w:val="single" w:sz="4" w:space="0" w:color="auto"/>
              <w:left w:val="single" w:sz="4" w:space="0" w:color="auto"/>
              <w:bottom w:val="single" w:sz="4" w:space="0" w:color="auto"/>
              <w:right w:val="single" w:sz="4" w:space="0" w:color="auto"/>
            </w:tcBorders>
            <w:shd w:val="clear" w:color="auto" w:fill="auto"/>
          </w:tcPr>
          <w:p w14:paraId="05BC3041" w14:textId="0BE145BC" w:rsidR="00863245" w:rsidRPr="00C90580" w:rsidRDefault="00863245" w:rsidP="00863245">
            <w:pPr>
              <w:spacing w:line="480" w:lineRule="auto"/>
              <w:jc w:val="both"/>
              <w:rPr>
                <w:bCs/>
              </w:rPr>
            </w:pPr>
            <w:r>
              <w:rPr>
                <w:bCs/>
              </w:rPr>
              <w:t>3</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1F93D27B" w14:textId="2D83A091" w:rsidR="00863245" w:rsidRPr="00863245" w:rsidRDefault="00863245" w:rsidP="00863245">
            <w:pPr>
              <w:spacing w:line="480" w:lineRule="auto"/>
              <w:jc w:val="both"/>
              <w:rPr>
                <w:rFonts w:ascii="Arial" w:hAnsi="Arial" w:cs="Arial"/>
                <w:color w:val="000000"/>
                <w:sz w:val="23"/>
                <w:szCs w:val="23"/>
                <w:shd w:val="clear" w:color="auto" w:fill="FFFFFF"/>
              </w:rPr>
            </w:pPr>
            <w:r>
              <w:rPr>
                <w:rFonts w:ascii="Arial" w:hAnsi="Arial" w:cs="Arial"/>
                <w:color w:val="000000"/>
                <w:sz w:val="23"/>
                <w:szCs w:val="23"/>
                <w:shd w:val="clear" w:color="auto" w:fill="FFFFFF"/>
              </w:rPr>
              <w:t>V07AB00</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04FE7A40" w14:textId="2DB39798" w:rsidR="00863245" w:rsidRPr="00863245" w:rsidRDefault="00863245" w:rsidP="00863245">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Water</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for</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injection</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31A49A41" w14:textId="5DCB6F8B" w:rsidR="00863245" w:rsidRPr="00863245" w:rsidRDefault="00863245" w:rsidP="00863245">
            <w:pPr>
              <w:spacing w:line="480" w:lineRule="auto"/>
              <w:jc w:val="both"/>
              <w:rPr>
                <w:rFonts w:ascii="Arial" w:hAnsi="Arial" w:cs="Arial"/>
                <w:color w:val="000000"/>
                <w:sz w:val="23"/>
                <w:szCs w:val="23"/>
                <w:shd w:val="clear" w:color="auto" w:fill="FFFFFF"/>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2BE8183" w14:textId="608312B8" w:rsidR="00863245" w:rsidRPr="00C90580" w:rsidRDefault="00863245" w:rsidP="00863245">
            <w:pPr>
              <w:spacing w:line="480" w:lineRule="auto"/>
              <w:jc w:val="both"/>
              <w:rPr>
                <w:bCs/>
              </w:rPr>
            </w:pPr>
            <w:r w:rsidRPr="00C90580">
              <w:rPr>
                <w:bCs/>
              </w:rPr>
              <w:t>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317B4686" w14:textId="1F71F3EA" w:rsidR="00863245" w:rsidRPr="006D0E9A" w:rsidRDefault="00863245" w:rsidP="00863245">
            <w:pPr>
              <w:spacing w:line="480" w:lineRule="auto"/>
              <w:jc w:val="both"/>
              <w:rPr>
                <w:bCs/>
              </w:rPr>
            </w:pPr>
            <w:r>
              <w:rPr>
                <w:bCs/>
              </w:rPr>
              <w:t>2200</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0DA5C1EC" w14:textId="77777777" w:rsidR="00970F81" w:rsidRDefault="00970F81" w:rsidP="00C1376E">
      <w:pPr>
        <w:autoSpaceDE w:val="0"/>
        <w:autoSpaceDN w:val="0"/>
        <w:adjustRightInd w:val="0"/>
        <w:jc w:val="center"/>
        <w:rPr>
          <w:rFonts w:eastAsia="Batang"/>
          <w:b/>
          <w:bCs/>
          <w:szCs w:val="24"/>
        </w:rPr>
      </w:pPr>
    </w:p>
    <w:p w14:paraId="3F99AC30" w14:textId="0E8E8C3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w:t>
      </w:r>
      <w:r w:rsidR="00761458" w:rsidRPr="00983A81">
        <w:rPr>
          <w:rFonts w:eastAsia="Calibri"/>
          <w:szCs w:val="24"/>
          <w:lang w:eastAsia="en-US"/>
        </w:rPr>
        <w:lastRenderedPageBreak/>
        <w:t xml:space="preserve">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561E43A7"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863245">
        <w:rPr>
          <w:rFonts w:eastAsia="Calibri"/>
          <w:szCs w:val="24"/>
          <w:lang w:val="en-US" w:eastAsia="en-US"/>
        </w:rPr>
        <w:t>3</w:t>
      </w:r>
      <w:r w:rsidR="00584466">
        <w:rPr>
          <w:rFonts w:eastAsia="Calibri"/>
          <w:szCs w:val="24"/>
          <w:lang w:eastAsia="en-US"/>
        </w:rPr>
        <w:t>10</w:t>
      </w:r>
      <w:r w:rsidR="00863245">
        <w:rPr>
          <w:rFonts w:eastAsia="Calibri"/>
          <w:szCs w:val="24"/>
          <w:lang w:val="en-US" w:eastAsia="en-US"/>
        </w:rPr>
        <w:t>.</w:t>
      </w:r>
      <w:r w:rsidR="00584466">
        <w:rPr>
          <w:rFonts w:eastAsia="Calibri"/>
          <w:szCs w:val="24"/>
          <w:lang w:eastAsia="en-US"/>
        </w:rPr>
        <w:t>10</w:t>
      </w:r>
      <w:r w:rsidR="00863245">
        <w:rPr>
          <w:rFonts w:eastAsia="Calibri"/>
          <w:szCs w:val="24"/>
          <w:lang w:val="en-US" w:eastAsia="en-US"/>
        </w:rPr>
        <w:t xml:space="preserve"> </w:t>
      </w:r>
      <w:r w:rsidR="006B39C2" w:rsidRPr="00983A81">
        <w:rPr>
          <w:rFonts w:eastAsia="Calibri"/>
          <w:szCs w:val="24"/>
          <w:lang w:eastAsia="en-US"/>
        </w:rPr>
        <w:t>(</w:t>
      </w:r>
      <w:r w:rsidR="00863245">
        <w:rPr>
          <w:rFonts w:eastAsia="Calibri"/>
          <w:szCs w:val="24"/>
          <w:lang w:eastAsia="en-US"/>
        </w:rPr>
        <w:t xml:space="preserve">триста </w:t>
      </w:r>
      <w:r w:rsidR="00584466">
        <w:rPr>
          <w:rFonts w:eastAsia="Calibri"/>
          <w:szCs w:val="24"/>
          <w:lang w:eastAsia="en-US"/>
        </w:rPr>
        <w:t xml:space="preserve">и десет </w:t>
      </w:r>
      <w:r w:rsidR="001A2AEF">
        <w:rPr>
          <w:rFonts w:eastAsia="Calibri"/>
          <w:szCs w:val="24"/>
          <w:lang w:eastAsia="en-US"/>
        </w:rPr>
        <w:t xml:space="preserve">лева и </w:t>
      </w:r>
      <w:r w:rsidR="00863245">
        <w:rPr>
          <w:rFonts w:eastAsia="Calibri"/>
          <w:szCs w:val="24"/>
          <w:lang w:eastAsia="en-US"/>
        </w:rPr>
        <w:t xml:space="preserve">петдесет и </w:t>
      </w:r>
      <w:r w:rsidR="00584466">
        <w:rPr>
          <w:rFonts w:eastAsia="Calibri"/>
          <w:szCs w:val="24"/>
          <w:lang w:eastAsia="en-US"/>
        </w:rPr>
        <w:t xml:space="preserve">десет </w:t>
      </w:r>
      <w:r w:rsidR="001A2AEF">
        <w:rPr>
          <w:rFonts w:eastAsia="Calibri"/>
          <w:szCs w:val="24"/>
          <w:lang w:eastAsia="en-US"/>
        </w:rPr>
        <w:t>стотинки</w:t>
      </w:r>
      <w:r w:rsidR="006B39C2" w:rsidRPr="00983A81">
        <w:rPr>
          <w:rFonts w:eastAsia="Calibri"/>
          <w:szCs w:val="24"/>
          <w:lang w:eastAsia="en-US"/>
        </w:rPr>
        <w:t xml:space="preserve">) лева без включен ДДС и до </w:t>
      </w:r>
      <w:r w:rsidR="00584466">
        <w:rPr>
          <w:rFonts w:eastAsia="Calibri"/>
          <w:szCs w:val="24"/>
          <w:lang w:eastAsia="en-US"/>
        </w:rPr>
        <w:t xml:space="preserve">372. 12 </w:t>
      </w:r>
      <w:r w:rsidR="006B39C2" w:rsidRPr="00983A81">
        <w:rPr>
          <w:rFonts w:eastAsia="Calibri"/>
          <w:szCs w:val="24"/>
          <w:lang w:eastAsia="en-US"/>
        </w:rPr>
        <w:t>(</w:t>
      </w:r>
      <w:r w:rsidR="00584466">
        <w:rPr>
          <w:rFonts w:eastAsia="Calibri"/>
          <w:szCs w:val="24"/>
          <w:lang w:eastAsia="en-US"/>
        </w:rPr>
        <w:t xml:space="preserve">триста седемдесет и два </w:t>
      </w:r>
      <w:r w:rsidR="00B45349">
        <w:rPr>
          <w:rFonts w:eastAsia="Calibri"/>
          <w:szCs w:val="24"/>
          <w:lang w:eastAsia="en-US"/>
        </w:rPr>
        <w:t xml:space="preserve">лева и </w:t>
      </w:r>
      <w:r w:rsidR="00584466">
        <w:rPr>
          <w:rFonts w:eastAsia="Calibri"/>
          <w:szCs w:val="24"/>
          <w:lang w:eastAsia="en-US"/>
        </w:rPr>
        <w:t xml:space="preserve">дванадесет </w:t>
      </w:r>
      <w:r w:rsidR="00B45349">
        <w:rPr>
          <w:rFonts w:eastAsia="Calibri"/>
          <w:szCs w:val="24"/>
          <w:lang w:eastAsia="en-US"/>
        </w:rPr>
        <w:t>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w:t>
      </w:r>
      <w:r w:rsidR="00761458" w:rsidRPr="00983A81">
        <w:rPr>
          <w:rFonts w:eastAsia="Calibri"/>
          <w:szCs w:val="24"/>
          <w:lang w:eastAsia="en-US"/>
        </w:rPr>
        <w:lastRenderedPageBreak/>
        <w:t>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6E9C77E2"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584466">
        <w:rPr>
          <w:rFonts w:eastAsia="Calibri"/>
          <w:b/>
          <w:szCs w:val="24"/>
          <w:lang w:eastAsia="en-US"/>
        </w:rPr>
        <w:t>9</w:t>
      </w:r>
      <w:bookmarkStart w:id="0" w:name="_GoBack"/>
      <w:bookmarkEnd w:id="0"/>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lastRenderedPageBreak/>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lastRenderedPageBreak/>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lastRenderedPageBreak/>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A2E4AA9" w:rsidR="006B39C2" w:rsidRPr="006C3ADF" w:rsidRDefault="0044220E"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ЦСМП-Враца</w:t>
      </w:r>
    </w:p>
    <w:p w14:paraId="53C0657A" w14:textId="3CF30E7C"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537F83C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6064AEDF" w14:textId="284C45BF" w:rsidR="00EF06D9" w:rsidRPr="00EF06D9" w:rsidRDefault="00EF06D9" w:rsidP="00EF06D9">
      <w:pPr>
        <w:ind w:firstLine="709"/>
        <w:jc w:val="both"/>
        <w:rPr>
          <w:rFonts w:eastAsia="Calibri"/>
          <w:szCs w:val="24"/>
          <w:lang w:eastAsia="en-US"/>
        </w:rPr>
      </w:pPr>
    </w:p>
    <w:p w14:paraId="39CB0732" w14:textId="111C78F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lastRenderedPageBreak/>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0C5A827E"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DE70622" w14:textId="77777777" w:rsidR="006C3ADF" w:rsidRPr="006C3ADF" w:rsidRDefault="006C3ADF" w:rsidP="006C3ADF">
      <w:pPr>
        <w:rPr>
          <w:rFonts w:eastAsia="Batang"/>
          <w:szCs w:val="24"/>
        </w:rPr>
      </w:pPr>
    </w:p>
    <w:p w14:paraId="5FC12F9D" w14:textId="42E30CB6" w:rsid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4D1BA54D" w:rsidR="006C3ADF" w:rsidRPr="006C3ADF" w:rsidRDefault="006C3ADF" w:rsidP="006C3ADF">
      <w:pPr>
        <w:rPr>
          <w:rFonts w:eastAsia="Batang"/>
          <w:b/>
          <w:szCs w:val="24"/>
        </w:rPr>
      </w:pPr>
      <w:r w:rsidRPr="006C3ADF">
        <w:rPr>
          <w:rFonts w:eastAsia="Batang"/>
          <w:b/>
          <w:szCs w:val="24"/>
        </w:rPr>
        <w:t>Главен счетоводител</w:t>
      </w:r>
    </w:p>
    <w:sectPr w:rsidR="006C3ADF" w:rsidRPr="006C3ADF"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2AEF"/>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220E"/>
    <w:rsid w:val="00447559"/>
    <w:rsid w:val="00456EAE"/>
    <w:rsid w:val="0048523F"/>
    <w:rsid w:val="0048658B"/>
    <w:rsid w:val="004B50EE"/>
    <w:rsid w:val="004C0BA6"/>
    <w:rsid w:val="004C2BF8"/>
    <w:rsid w:val="004C669A"/>
    <w:rsid w:val="004F25BA"/>
    <w:rsid w:val="00533F67"/>
    <w:rsid w:val="00565F88"/>
    <w:rsid w:val="00584466"/>
    <w:rsid w:val="005A270C"/>
    <w:rsid w:val="005E2B95"/>
    <w:rsid w:val="005F2D5F"/>
    <w:rsid w:val="00606598"/>
    <w:rsid w:val="00610642"/>
    <w:rsid w:val="00632651"/>
    <w:rsid w:val="00641A56"/>
    <w:rsid w:val="006469A8"/>
    <w:rsid w:val="00655C3E"/>
    <w:rsid w:val="00674E75"/>
    <w:rsid w:val="00682FB8"/>
    <w:rsid w:val="00683357"/>
    <w:rsid w:val="00697233"/>
    <w:rsid w:val="006B2B68"/>
    <w:rsid w:val="006B39C2"/>
    <w:rsid w:val="006C2A9B"/>
    <w:rsid w:val="006C3ADF"/>
    <w:rsid w:val="007305C0"/>
    <w:rsid w:val="00761458"/>
    <w:rsid w:val="007622C8"/>
    <w:rsid w:val="007833B0"/>
    <w:rsid w:val="00791C92"/>
    <w:rsid w:val="007D55A5"/>
    <w:rsid w:val="007E50A5"/>
    <w:rsid w:val="007E5B52"/>
    <w:rsid w:val="007E6090"/>
    <w:rsid w:val="00863245"/>
    <w:rsid w:val="00864B0E"/>
    <w:rsid w:val="008A7C19"/>
    <w:rsid w:val="008E04D7"/>
    <w:rsid w:val="008E0A7A"/>
    <w:rsid w:val="009270F7"/>
    <w:rsid w:val="0094187F"/>
    <w:rsid w:val="00962CFB"/>
    <w:rsid w:val="00965176"/>
    <w:rsid w:val="00970F81"/>
    <w:rsid w:val="0097697F"/>
    <w:rsid w:val="00981AD2"/>
    <w:rsid w:val="00983A81"/>
    <w:rsid w:val="00984C46"/>
    <w:rsid w:val="009A5BD8"/>
    <w:rsid w:val="009B0BDB"/>
    <w:rsid w:val="009B6462"/>
    <w:rsid w:val="009D46B1"/>
    <w:rsid w:val="00A15CC8"/>
    <w:rsid w:val="00A3595F"/>
    <w:rsid w:val="00A755C1"/>
    <w:rsid w:val="00A84838"/>
    <w:rsid w:val="00B008CD"/>
    <w:rsid w:val="00B02121"/>
    <w:rsid w:val="00B11F9B"/>
    <w:rsid w:val="00B224F5"/>
    <w:rsid w:val="00B22DEC"/>
    <w:rsid w:val="00B45349"/>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4.xml><?xml version="1.0" encoding="utf-8"?>
<ds:datastoreItem xmlns:ds="http://schemas.openxmlformats.org/officeDocument/2006/customXml" ds:itemID="{15DA06D4-9D65-4B52-9136-4177F59C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3342</Words>
  <Characters>19050</Characters>
  <Application>Microsoft Office Word</Application>
  <DocSecurity>0</DocSecurity>
  <Lines>158</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2</cp:revision>
  <cp:lastPrinted>2021-01-28T16:23:00Z</cp:lastPrinted>
  <dcterms:created xsi:type="dcterms:W3CDTF">2021-04-15T10:32:00Z</dcterms:created>
  <dcterms:modified xsi:type="dcterms:W3CDTF">2021-04-15T10:32:00Z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