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1A5B799C"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r w:rsidR="00A02352">
        <w:rPr>
          <w:rFonts w:eastAsia="Batang"/>
          <w:b/>
          <w:bCs/>
          <w:szCs w:val="24"/>
        </w:rPr>
        <w:t xml:space="preserve"> № 14</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40DD027D" w:rsidR="00C1376E" w:rsidRPr="00983A81" w:rsidRDefault="00A02352" w:rsidP="00C1376E">
      <w:pPr>
        <w:autoSpaceDE w:val="0"/>
        <w:autoSpaceDN w:val="0"/>
        <w:adjustRightInd w:val="0"/>
        <w:jc w:val="both"/>
        <w:rPr>
          <w:rFonts w:eastAsia="Batang"/>
          <w:szCs w:val="24"/>
        </w:rPr>
      </w:pPr>
      <w:r>
        <w:rPr>
          <w:rFonts w:eastAsia="Batang"/>
          <w:szCs w:val="24"/>
        </w:rPr>
        <w:t>Днес, 01.</w:t>
      </w:r>
      <w:r w:rsidR="00A44E0F">
        <w:rPr>
          <w:rFonts w:eastAsia="Batang"/>
          <w:szCs w:val="24"/>
        </w:rPr>
        <w:t>06</w:t>
      </w:r>
      <w:r w:rsidR="005E2B95">
        <w:rPr>
          <w:rFonts w:eastAsia="Batang"/>
          <w:szCs w:val="24"/>
        </w:rPr>
        <w:t xml:space="preserve">.2021 </w:t>
      </w:r>
      <w:r w:rsidR="00C1376E" w:rsidRPr="00983A81">
        <w:rPr>
          <w:rFonts w:eastAsia="Batang"/>
          <w:szCs w:val="24"/>
        </w:rPr>
        <w:t>г., в гр.</w:t>
      </w:r>
      <w:r w:rsidR="0097697F">
        <w:rPr>
          <w:rFonts w:eastAsia="Batang"/>
          <w:szCs w:val="24"/>
        </w:rPr>
        <w:t xml:space="preserve"> Враца</w:t>
      </w:r>
      <w:r w:rsidR="00C1376E"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16701C73" w:rsidR="00A84838" w:rsidRPr="00983A81" w:rsidRDefault="007E6090" w:rsidP="00EF06D9">
      <w:pPr>
        <w:autoSpaceDE w:val="0"/>
        <w:autoSpaceDN w:val="0"/>
        <w:adjustRightInd w:val="0"/>
        <w:jc w:val="both"/>
        <w:rPr>
          <w:rFonts w:eastAsia="Calibri"/>
          <w:b/>
          <w:szCs w:val="24"/>
          <w:lang w:eastAsia="en-US"/>
        </w:rPr>
      </w:pPr>
      <w:r w:rsidRPr="00EF06D9">
        <w:rPr>
          <w:rFonts w:eastAsia="Calibri"/>
          <w:b/>
          <w:bCs/>
          <w:szCs w:val="24"/>
          <w:lang w:eastAsia="en-US"/>
        </w:rPr>
        <w:t xml:space="preserve"> </w:t>
      </w:r>
      <w:proofErr w:type="spellStart"/>
      <w:r w:rsidR="00873C0C">
        <w:rPr>
          <w:rFonts w:eastAsia="Calibri"/>
          <w:b/>
          <w:bCs/>
          <w:szCs w:val="24"/>
          <w:lang w:eastAsia="en-US"/>
        </w:rPr>
        <w:t>Медекс</w:t>
      </w:r>
      <w:proofErr w:type="spellEnd"/>
      <w:r w:rsidR="00873C0C">
        <w:rPr>
          <w:rFonts w:eastAsia="Calibri"/>
          <w:b/>
          <w:bCs/>
          <w:szCs w:val="24"/>
          <w:lang w:eastAsia="en-US"/>
        </w:rPr>
        <w:t xml:space="preserve"> ООД</w:t>
      </w:r>
      <w:r w:rsidR="00EF06D9" w:rsidRPr="00EF06D9">
        <w:rPr>
          <w:rFonts w:eastAsia="Calibri"/>
          <w:szCs w:val="24"/>
          <w:lang w:eastAsia="en-US"/>
        </w:rPr>
        <w:t>, със седалище и адрес на управление:</w:t>
      </w:r>
      <w:r w:rsidR="00873C0C" w:rsidRPr="00873C0C">
        <w:t xml:space="preserve"> </w:t>
      </w:r>
      <w:r w:rsidR="00873C0C">
        <w:t xml:space="preserve">гр. София, общ. Столична, с. Световрачене, </w:t>
      </w:r>
      <w:proofErr w:type="spellStart"/>
      <w:r w:rsidR="00873C0C">
        <w:t>п.код</w:t>
      </w:r>
      <w:proofErr w:type="spellEnd"/>
      <w:r w:rsidR="00873C0C">
        <w:t xml:space="preserve"> 1252, ул. Чавдар Войвода № 48</w:t>
      </w:r>
      <w:r w:rsidR="00EF06D9" w:rsidRPr="00EF06D9">
        <w:rPr>
          <w:rFonts w:eastAsia="Calibri"/>
          <w:szCs w:val="24"/>
          <w:lang w:eastAsia="en-US"/>
        </w:rPr>
        <w:t>, ЕИК</w:t>
      </w:r>
      <w:r w:rsidR="00873C0C">
        <w:rPr>
          <w:rFonts w:eastAsia="Calibri"/>
          <w:szCs w:val="24"/>
          <w:lang w:eastAsia="en-US"/>
        </w:rPr>
        <w:t xml:space="preserve"> </w:t>
      </w:r>
      <w:r w:rsidR="00873C0C">
        <w:t>131268894</w:t>
      </w:r>
      <w:r w:rsidR="00EF06D9">
        <w:rPr>
          <w:rFonts w:eastAsia="Calibri"/>
          <w:szCs w:val="24"/>
          <w:lang w:eastAsia="en-US"/>
        </w:rPr>
        <w:t xml:space="preserve">, </w:t>
      </w:r>
      <w:r w:rsidR="00EF06D9" w:rsidRPr="00EF06D9">
        <w:rPr>
          <w:rFonts w:eastAsia="Calibri"/>
          <w:szCs w:val="24"/>
          <w:lang w:eastAsia="en-US"/>
        </w:rPr>
        <w:t>представлявано от</w:t>
      </w:r>
      <w:r w:rsidR="00873C0C">
        <w:rPr>
          <w:rFonts w:eastAsia="Calibri"/>
          <w:szCs w:val="24"/>
          <w:lang w:eastAsia="en-US"/>
        </w:rPr>
        <w:t xml:space="preserve"> Емил Данев</w:t>
      </w:r>
      <w:r w:rsidR="006B2B68">
        <w:rPr>
          <w:rFonts w:eastAsia="Calibri"/>
          <w:szCs w:val="24"/>
          <w:lang w:eastAsia="en-US"/>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74422771"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6B2B68">
        <w:rPr>
          <w:rFonts w:eastAsia="Calibri"/>
          <w:bCs/>
          <w:szCs w:val="24"/>
          <w:lang w:eastAsia="en-US"/>
        </w:rPr>
        <w:t>о споразумение</w:t>
      </w:r>
      <w:r w:rsidR="001439B6" w:rsidRPr="00983A81">
        <w:rPr>
          <w:rFonts w:eastAsia="Calibri"/>
          <w:bCs/>
          <w:szCs w:val="24"/>
          <w:lang w:eastAsia="en-US"/>
        </w:rPr>
        <w:t xml:space="preserve"> </w:t>
      </w:r>
      <w:r w:rsidR="006B2B68">
        <w:rPr>
          <w:rFonts w:eastAsia="Calibri"/>
          <w:bCs/>
          <w:szCs w:val="24"/>
          <w:lang w:eastAsia="en-US"/>
        </w:rPr>
        <w:t xml:space="preserve">№ </w:t>
      </w:r>
      <w:r w:rsidR="00FE77AE">
        <w:t>РД-11-163/29</w:t>
      </w:r>
      <w:r w:rsidR="006B2B68">
        <w:t>.0</w:t>
      </w:r>
      <w:r w:rsidR="00FE77AE">
        <w:t>3</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873C0C" w:rsidRPr="006D0E9A" w14:paraId="15C95E5C" w14:textId="77777777" w:rsidTr="00370F96">
        <w:tc>
          <w:tcPr>
            <w:tcW w:w="519" w:type="dxa"/>
            <w:shd w:val="clear" w:color="auto" w:fill="auto"/>
          </w:tcPr>
          <w:p w14:paraId="5717E23D" w14:textId="77777777" w:rsidR="00873C0C" w:rsidRPr="00C90580" w:rsidRDefault="00873C0C" w:rsidP="00873C0C">
            <w:pPr>
              <w:spacing w:line="480" w:lineRule="auto"/>
              <w:jc w:val="both"/>
              <w:rPr>
                <w:bCs/>
              </w:rPr>
            </w:pPr>
            <w:r w:rsidRPr="00C90580">
              <w:rPr>
                <w:bCs/>
              </w:rPr>
              <w:t>1</w:t>
            </w:r>
          </w:p>
        </w:tc>
        <w:tc>
          <w:tcPr>
            <w:tcW w:w="2497" w:type="dxa"/>
            <w:shd w:val="clear" w:color="auto" w:fill="auto"/>
          </w:tcPr>
          <w:p w14:paraId="4A4F1AEC" w14:textId="69BEB00E" w:rsidR="00873C0C" w:rsidRPr="00C90580" w:rsidRDefault="00FE77AE" w:rsidP="00873C0C">
            <w:pPr>
              <w:spacing w:line="480" w:lineRule="auto"/>
              <w:jc w:val="both"/>
              <w:rPr>
                <w:bCs/>
              </w:rPr>
            </w:pPr>
            <w:r>
              <w:rPr>
                <w:rFonts w:ascii="Arial" w:hAnsi="Arial" w:cs="Arial"/>
                <w:color w:val="000000"/>
                <w:sz w:val="23"/>
                <w:szCs w:val="23"/>
                <w:shd w:val="clear" w:color="auto" w:fill="FFFFFF"/>
              </w:rPr>
              <w:t>A12AA03</w:t>
            </w:r>
          </w:p>
        </w:tc>
        <w:tc>
          <w:tcPr>
            <w:tcW w:w="1868" w:type="dxa"/>
            <w:shd w:val="clear" w:color="auto" w:fill="auto"/>
          </w:tcPr>
          <w:p w14:paraId="57C8A4A1" w14:textId="08022DB9" w:rsidR="00873C0C" w:rsidRPr="00C90580" w:rsidRDefault="00FE77AE" w:rsidP="00873C0C">
            <w:pPr>
              <w:spacing w:line="480" w:lineRule="auto"/>
              <w:jc w:val="both"/>
              <w:rPr>
                <w:bCs/>
              </w:rPr>
            </w:pPr>
            <w:proofErr w:type="spellStart"/>
            <w:r>
              <w:rPr>
                <w:rFonts w:ascii="Arial" w:hAnsi="Arial" w:cs="Arial"/>
                <w:color w:val="000000"/>
                <w:sz w:val="23"/>
                <w:szCs w:val="23"/>
                <w:shd w:val="clear" w:color="auto" w:fill="FFFFFF"/>
              </w:rPr>
              <w:t>Calcium</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gluconate</w:t>
            </w:r>
            <w:proofErr w:type="spellEnd"/>
          </w:p>
        </w:tc>
        <w:tc>
          <w:tcPr>
            <w:tcW w:w="1730" w:type="dxa"/>
            <w:shd w:val="clear" w:color="auto" w:fill="auto"/>
          </w:tcPr>
          <w:p w14:paraId="4760869C" w14:textId="4DCE8FD3" w:rsidR="00873C0C" w:rsidRPr="00C90580" w:rsidRDefault="00FE77AE" w:rsidP="00873C0C">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4DF02A7B" w14:textId="77777777" w:rsidR="00FE77AE" w:rsidRDefault="00FE77AE" w:rsidP="00FE77AE">
            <w:pPr>
              <w:spacing w:line="480" w:lineRule="auto"/>
              <w:jc w:val="both"/>
              <w:rPr>
                <w:bCs/>
              </w:rPr>
            </w:pPr>
            <w:proofErr w:type="spellStart"/>
            <w:r>
              <w:rPr>
                <w:bCs/>
              </w:rPr>
              <w:t>mg</w:t>
            </w:r>
            <w:proofErr w:type="spellEnd"/>
          </w:p>
          <w:p w14:paraId="5D18EB82" w14:textId="1C013A66" w:rsidR="00873C0C" w:rsidRPr="00C90580" w:rsidRDefault="00873C0C" w:rsidP="00873C0C">
            <w:pPr>
              <w:spacing w:line="480" w:lineRule="auto"/>
              <w:jc w:val="both"/>
              <w:rPr>
                <w:bCs/>
              </w:rPr>
            </w:pPr>
          </w:p>
        </w:tc>
        <w:tc>
          <w:tcPr>
            <w:tcW w:w="1549" w:type="dxa"/>
            <w:shd w:val="clear" w:color="auto" w:fill="auto"/>
          </w:tcPr>
          <w:p w14:paraId="4C05950E" w14:textId="77777777" w:rsidR="00FE77AE" w:rsidRDefault="00FE77AE" w:rsidP="00FE77AE">
            <w:pPr>
              <w:spacing w:line="480" w:lineRule="auto"/>
              <w:jc w:val="both"/>
              <w:rPr>
                <w:bCs/>
              </w:rPr>
            </w:pPr>
            <w:r>
              <w:rPr>
                <w:bCs/>
              </w:rPr>
              <w:t>56322</w:t>
            </w:r>
          </w:p>
          <w:p w14:paraId="200FB617" w14:textId="28F00BCB" w:rsidR="00873C0C" w:rsidRPr="006D0E9A" w:rsidRDefault="00873C0C" w:rsidP="00873C0C">
            <w:pPr>
              <w:spacing w:line="480" w:lineRule="auto"/>
              <w:jc w:val="both"/>
              <w:rPr>
                <w:bCs/>
              </w:rPr>
            </w:pP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39B15A2" w14:textId="77777777" w:rsidR="001439B6" w:rsidRPr="00983A81" w:rsidRDefault="001439B6" w:rsidP="00C1376E">
      <w:pPr>
        <w:jc w:val="both"/>
        <w:rPr>
          <w:rFonts w:eastAsia="Calibri"/>
          <w:szCs w:val="24"/>
          <w:lang w:eastAsia="en-US"/>
        </w:rPr>
      </w:pPr>
    </w:p>
    <w:p w14:paraId="3F99AC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4BD41703"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FE77AE">
        <w:rPr>
          <w:rFonts w:eastAsia="Calibri"/>
          <w:szCs w:val="24"/>
          <w:lang w:eastAsia="en-US"/>
        </w:rPr>
        <w:t xml:space="preserve">1102.67 </w:t>
      </w:r>
      <w:r w:rsidR="006B39C2" w:rsidRPr="00983A81">
        <w:rPr>
          <w:rFonts w:eastAsia="Calibri"/>
          <w:szCs w:val="24"/>
          <w:lang w:eastAsia="en-US"/>
        </w:rPr>
        <w:t>(</w:t>
      </w:r>
      <w:r w:rsidR="00FE77AE">
        <w:rPr>
          <w:rFonts w:eastAsia="Calibri"/>
          <w:szCs w:val="24"/>
          <w:lang w:eastAsia="en-US"/>
        </w:rPr>
        <w:t>хиляда сто и два лева и шестдесет и седем стотинки</w:t>
      </w:r>
      <w:r w:rsidR="006B39C2" w:rsidRPr="00983A81">
        <w:rPr>
          <w:rFonts w:eastAsia="Calibri"/>
          <w:szCs w:val="24"/>
          <w:lang w:eastAsia="en-US"/>
        </w:rPr>
        <w:t xml:space="preserve">) лева без включен ДДС и до </w:t>
      </w:r>
      <w:r w:rsidR="00FE77AE">
        <w:rPr>
          <w:rFonts w:eastAsia="Calibri"/>
          <w:szCs w:val="24"/>
          <w:lang w:eastAsia="en-US"/>
        </w:rPr>
        <w:t xml:space="preserve">1323.20 </w:t>
      </w:r>
      <w:r w:rsidR="006B39C2" w:rsidRPr="00983A81">
        <w:rPr>
          <w:rFonts w:eastAsia="Calibri"/>
          <w:szCs w:val="24"/>
          <w:lang w:eastAsia="en-US"/>
        </w:rPr>
        <w:t>(</w:t>
      </w:r>
      <w:r w:rsidR="00FE77AE">
        <w:rPr>
          <w:rFonts w:eastAsia="Calibri"/>
          <w:szCs w:val="24"/>
          <w:lang w:eastAsia="en-US"/>
        </w:rPr>
        <w:t xml:space="preserve">хиляда триста двадесет и три лева и двадесет </w:t>
      </w:r>
      <w:r w:rsidR="00873C0C">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lastRenderedPageBreak/>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2283A323" w:rsidR="00C1376E"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3FDB3922" w14:textId="5A6E4775" w:rsidR="00FE77AE" w:rsidRDefault="00FE77AE" w:rsidP="00FE77AE">
      <w:pPr>
        <w:jc w:val="both"/>
        <w:rPr>
          <w:rFonts w:eastAsia="Calibri"/>
          <w:b/>
          <w:szCs w:val="24"/>
          <w:lang w:eastAsia="en-US"/>
        </w:rPr>
      </w:pPr>
      <w:r>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Pr>
          <w:rFonts w:eastAsia="Calibri"/>
          <w:b/>
          <w:szCs w:val="24"/>
          <w:lang w:eastAsia="en-US"/>
        </w:rPr>
        <w:t>ИЗПЪЛНИТЕЛЯТ</w:t>
      </w:r>
      <w:r>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Pr>
          <w:rFonts w:eastAsia="Calibri"/>
          <w:b/>
          <w:szCs w:val="24"/>
          <w:lang w:eastAsia="en-US"/>
        </w:rPr>
        <w:t xml:space="preserve">Гаранцията е в размер на </w:t>
      </w:r>
      <w:r>
        <w:rPr>
          <w:rFonts w:eastAsia="Calibri"/>
          <w:b/>
          <w:szCs w:val="24"/>
          <w:lang w:val="en-US" w:eastAsia="en-US"/>
        </w:rPr>
        <w:t xml:space="preserve">3% </w:t>
      </w:r>
      <w:r>
        <w:rPr>
          <w:rFonts w:eastAsia="Calibri"/>
          <w:b/>
          <w:szCs w:val="24"/>
          <w:lang w:eastAsia="en-US"/>
        </w:rPr>
        <w:t>от стойността на договора без ДДС и възлиза на 33  лева.</w:t>
      </w:r>
    </w:p>
    <w:p w14:paraId="5CD24944" w14:textId="440FA116" w:rsidR="00BA7FD4" w:rsidRPr="00983A81" w:rsidRDefault="00873C0C" w:rsidP="00C1376E">
      <w:pPr>
        <w:jc w:val="both"/>
        <w:rPr>
          <w:rFonts w:eastAsia="Calibri"/>
          <w:szCs w:val="24"/>
          <w:lang w:eastAsia="en-US"/>
        </w:rPr>
      </w:pPr>
      <w:r>
        <w:rPr>
          <w:rFonts w:eastAsia="Calibri"/>
          <w:b/>
          <w:szCs w:val="24"/>
          <w:lang w:eastAsia="en-US"/>
        </w:rPr>
        <w:t xml:space="preserve"> </w:t>
      </w:r>
      <w:r w:rsidR="00221C42">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lastRenderedPageBreak/>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w:t>
      </w:r>
      <w:r w:rsidR="00397FCB" w:rsidRPr="00983A81">
        <w:rPr>
          <w:rFonts w:eastAsia="Calibri"/>
          <w:szCs w:val="24"/>
          <w:lang w:eastAsia="en-US"/>
        </w:rPr>
        <w:lastRenderedPageBreak/>
        <w:t xml:space="preserve">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CADCDF0" w14:textId="77777777" w:rsidR="00873C0C" w:rsidRDefault="00873C0C" w:rsidP="00C1376E">
      <w:pPr>
        <w:autoSpaceDE w:val="0"/>
        <w:autoSpaceDN w:val="0"/>
        <w:adjustRightInd w:val="0"/>
        <w:jc w:val="center"/>
        <w:rPr>
          <w:rFonts w:eastAsia="Batang"/>
          <w:b/>
          <w:bCs/>
          <w:szCs w:val="24"/>
        </w:rPr>
      </w:pPr>
    </w:p>
    <w:p w14:paraId="58615DDF" w14:textId="77777777" w:rsidR="00873C0C" w:rsidRDefault="00873C0C" w:rsidP="00C1376E">
      <w:pPr>
        <w:autoSpaceDE w:val="0"/>
        <w:autoSpaceDN w:val="0"/>
        <w:adjustRightInd w:val="0"/>
        <w:jc w:val="center"/>
        <w:rPr>
          <w:rFonts w:eastAsia="Batang"/>
          <w:b/>
          <w:bCs/>
          <w:szCs w:val="24"/>
        </w:rPr>
      </w:pPr>
    </w:p>
    <w:p w14:paraId="017FDDC3" w14:textId="77777777" w:rsidR="00873C0C" w:rsidRDefault="00873C0C" w:rsidP="00C1376E">
      <w:pPr>
        <w:autoSpaceDE w:val="0"/>
        <w:autoSpaceDN w:val="0"/>
        <w:adjustRightInd w:val="0"/>
        <w:jc w:val="center"/>
        <w:rPr>
          <w:rFonts w:eastAsia="Batang"/>
          <w:b/>
          <w:bCs/>
          <w:szCs w:val="24"/>
        </w:rPr>
      </w:pPr>
    </w:p>
    <w:p w14:paraId="637FFC22" w14:textId="2A5B0948"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както и обезщетение за претърпените действителни вреди в случаите, когато </w:t>
      </w:r>
      <w:r w:rsidR="00C1376E" w:rsidRPr="00983A81">
        <w:rPr>
          <w:rFonts w:eastAsia="Calibri"/>
          <w:szCs w:val="24"/>
          <w:lang w:eastAsia="en-US"/>
        </w:rPr>
        <w:lastRenderedPageBreak/>
        <w:t>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2645B47E" w14:textId="77777777" w:rsidR="00873C0C" w:rsidRDefault="00873C0C" w:rsidP="00E178BD">
      <w:pPr>
        <w:autoSpaceDE w:val="0"/>
        <w:autoSpaceDN w:val="0"/>
        <w:adjustRightInd w:val="0"/>
        <w:jc w:val="center"/>
        <w:rPr>
          <w:rFonts w:eastAsia="Batang"/>
          <w:b/>
          <w:bCs/>
          <w:szCs w:val="24"/>
        </w:rPr>
      </w:pPr>
    </w:p>
    <w:p w14:paraId="775B2AAD" w14:textId="77777777" w:rsidR="00873C0C" w:rsidRDefault="00873C0C" w:rsidP="00E178BD">
      <w:pPr>
        <w:autoSpaceDE w:val="0"/>
        <w:autoSpaceDN w:val="0"/>
        <w:adjustRightInd w:val="0"/>
        <w:jc w:val="center"/>
        <w:rPr>
          <w:rFonts w:eastAsia="Batang"/>
          <w:b/>
          <w:bCs/>
          <w:szCs w:val="24"/>
        </w:rPr>
      </w:pPr>
    </w:p>
    <w:p w14:paraId="095FA506" w14:textId="5B2A0DAA"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A2E4AA9" w:rsidR="006B39C2" w:rsidRPr="006C3ADF" w:rsidRDefault="0044220E"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ЦСМП-Враца</w:t>
      </w:r>
    </w:p>
    <w:p w14:paraId="53C0657A" w14:textId="3CF30E7C"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537F83C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6064AEDF" w14:textId="284C45BF" w:rsidR="00EF06D9" w:rsidRPr="00EF06D9" w:rsidRDefault="00EF06D9" w:rsidP="00EF06D9">
      <w:pPr>
        <w:ind w:firstLine="709"/>
        <w:jc w:val="both"/>
        <w:rPr>
          <w:rFonts w:eastAsia="Calibri"/>
          <w:szCs w:val="24"/>
          <w:lang w:eastAsia="en-US"/>
        </w:rPr>
      </w:pPr>
    </w:p>
    <w:p w14:paraId="39CB0732" w14:textId="111C78F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lastRenderedPageBreak/>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1B35E931" w14:textId="77777777" w:rsidR="00873C0C" w:rsidRDefault="00873C0C" w:rsidP="00C1376E">
      <w:pPr>
        <w:autoSpaceDE w:val="0"/>
        <w:autoSpaceDN w:val="0"/>
        <w:adjustRightInd w:val="0"/>
        <w:jc w:val="center"/>
        <w:rPr>
          <w:rFonts w:eastAsia="Batang"/>
          <w:b/>
          <w:bCs/>
          <w:szCs w:val="24"/>
        </w:rPr>
      </w:pPr>
    </w:p>
    <w:p w14:paraId="35526468" w14:textId="7F81375D"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0C5A827E"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4A8F8E3D" w:rsidR="00F26F90" w:rsidRDefault="006C3ADF" w:rsidP="006C3ADF">
      <w:pPr>
        <w:rPr>
          <w:rFonts w:eastAsia="Batang"/>
          <w:b/>
          <w:szCs w:val="24"/>
        </w:rPr>
      </w:pPr>
      <w:r w:rsidRPr="006C3ADF">
        <w:rPr>
          <w:rFonts w:eastAsia="Batang"/>
          <w:b/>
          <w:szCs w:val="24"/>
        </w:rPr>
        <w:t>Главен счетоводител</w:t>
      </w:r>
    </w:p>
    <w:p w14:paraId="4D1CE3C8" w14:textId="77777777" w:rsidR="00F26F90" w:rsidRPr="00F26F90" w:rsidRDefault="00F26F90" w:rsidP="00F26F90">
      <w:pPr>
        <w:rPr>
          <w:rFonts w:eastAsia="Batang"/>
          <w:szCs w:val="24"/>
        </w:rPr>
      </w:pPr>
    </w:p>
    <w:p w14:paraId="1219738F" w14:textId="77777777" w:rsidR="00F26F90" w:rsidRPr="00F26F90" w:rsidRDefault="00F26F90" w:rsidP="00F26F90">
      <w:pPr>
        <w:rPr>
          <w:rFonts w:eastAsia="Batang"/>
          <w:szCs w:val="24"/>
        </w:rPr>
      </w:pPr>
    </w:p>
    <w:p w14:paraId="005094C1" w14:textId="75730113" w:rsidR="00F26F90" w:rsidRDefault="00F26F90" w:rsidP="00F26F90">
      <w:pPr>
        <w:rPr>
          <w:rFonts w:eastAsia="Batang"/>
          <w:szCs w:val="24"/>
        </w:rPr>
      </w:pPr>
    </w:p>
    <w:p w14:paraId="2E4629C4" w14:textId="77777777" w:rsidR="00A02352" w:rsidRDefault="00A02352" w:rsidP="00A02352">
      <w:pPr>
        <w:jc w:val="both"/>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57FD24B8" w14:textId="25769990" w:rsidR="00F26F90" w:rsidRDefault="00F26F90" w:rsidP="00F26F90">
      <w:pPr>
        <w:rPr>
          <w:rFonts w:eastAsia="Batang"/>
          <w:szCs w:val="24"/>
        </w:rPr>
      </w:pPr>
      <w:bookmarkStart w:id="0" w:name="_GoBack"/>
      <w:bookmarkEnd w:id="0"/>
    </w:p>
    <w:p w14:paraId="51EDE04F" w14:textId="77777777" w:rsidR="006C3ADF" w:rsidRPr="00F26F90" w:rsidRDefault="006C3ADF" w:rsidP="00F26F90">
      <w:pPr>
        <w:rPr>
          <w:rFonts w:eastAsia="Batang"/>
          <w:szCs w:val="24"/>
        </w:rPr>
      </w:pPr>
    </w:p>
    <w:sectPr w:rsidR="006C3ADF" w:rsidRPr="00F26F90"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220E"/>
    <w:rsid w:val="00447559"/>
    <w:rsid w:val="00456EAE"/>
    <w:rsid w:val="0048523F"/>
    <w:rsid w:val="0048658B"/>
    <w:rsid w:val="004B50EE"/>
    <w:rsid w:val="004C0BA6"/>
    <w:rsid w:val="004C2BF8"/>
    <w:rsid w:val="004C669A"/>
    <w:rsid w:val="004F25BA"/>
    <w:rsid w:val="00533F67"/>
    <w:rsid w:val="00565F88"/>
    <w:rsid w:val="005A270C"/>
    <w:rsid w:val="005E2B95"/>
    <w:rsid w:val="005F2D5F"/>
    <w:rsid w:val="00606598"/>
    <w:rsid w:val="00610642"/>
    <w:rsid w:val="00632651"/>
    <w:rsid w:val="00641A56"/>
    <w:rsid w:val="006469A8"/>
    <w:rsid w:val="00655C3E"/>
    <w:rsid w:val="00674E75"/>
    <w:rsid w:val="00682FB8"/>
    <w:rsid w:val="00683357"/>
    <w:rsid w:val="00697233"/>
    <w:rsid w:val="006B2B68"/>
    <w:rsid w:val="006B39C2"/>
    <w:rsid w:val="006C2A9B"/>
    <w:rsid w:val="006C3ADF"/>
    <w:rsid w:val="007305C0"/>
    <w:rsid w:val="00761458"/>
    <w:rsid w:val="007622C8"/>
    <w:rsid w:val="007833B0"/>
    <w:rsid w:val="00791C92"/>
    <w:rsid w:val="007D55A5"/>
    <w:rsid w:val="007E50A5"/>
    <w:rsid w:val="007E5B52"/>
    <w:rsid w:val="007E6090"/>
    <w:rsid w:val="00864B0E"/>
    <w:rsid w:val="00873C0C"/>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02352"/>
    <w:rsid w:val="00A15CC8"/>
    <w:rsid w:val="00A3595F"/>
    <w:rsid w:val="00A44E0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26F90"/>
    <w:rsid w:val="00F47577"/>
    <w:rsid w:val="00F80AC9"/>
    <w:rsid w:val="00FD4DE4"/>
    <w:rsid w:val="00FE77AE"/>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F26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7443">
      <w:bodyDiv w:val="1"/>
      <w:marLeft w:val="0"/>
      <w:marRight w:val="0"/>
      <w:marTop w:val="0"/>
      <w:marBottom w:val="0"/>
      <w:divBdr>
        <w:top w:val="none" w:sz="0" w:space="0" w:color="auto"/>
        <w:left w:val="none" w:sz="0" w:space="0" w:color="auto"/>
        <w:bottom w:val="none" w:sz="0" w:space="0" w:color="auto"/>
        <w:right w:val="none" w:sz="0" w:space="0" w:color="auto"/>
      </w:divBdr>
    </w:div>
    <w:div w:id="612783949">
      <w:bodyDiv w:val="1"/>
      <w:marLeft w:val="0"/>
      <w:marRight w:val="0"/>
      <w:marTop w:val="0"/>
      <w:marBottom w:val="0"/>
      <w:divBdr>
        <w:top w:val="none" w:sz="0" w:space="0" w:color="auto"/>
        <w:left w:val="none" w:sz="0" w:space="0" w:color="auto"/>
        <w:bottom w:val="none" w:sz="0" w:space="0" w:color="auto"/>
        <w:right w:val="none" w:sz="0" w:space="0" w:color="auto"/>
      </w:divBdr>
    </w:div>
    <w:div w:id="625164603">
      <w:bodyDiv w:val="1"/>
      <w:marLeft w:val="0"/>
      <w:marRight w:val="0"/>
      <w:marTop w:val="0"/>
      <w:marBottom w:val="0"/>
      <w:divBdr>
        <w:top w:val="none" w:sz="0" w:space="0" w:color="auto"/>
        <w:left w:val="none" w:sz="0" w:space="0" w:color="auto"/>
        <w:bottom w:val="none" w:sz="0" w:space="0" w:color="auto"/>
        <w:right w:val="none" w:sz="0" w:space="0" w:color="auto"/>
      </w:divBdr>
    </w:div>
    <w:div w:id="869269690">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387755547">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 w:id="16595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2.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1DFC5-BE0F-495F-8CF7-D9EF1ECD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3357</Words>
  <Characters>19135</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10</cp:revision>
  <cp:lastPrinted>2021-01-28T16:23:00Z</cp:lastPrinted>
  <dcterms:created xsi:type="dcterms:W3CDTF">2021-04-05T06:59:00Z</dcterms:created>
  <dcterms:modified xsi:type="dcterms:W3CDTF">2021-06-30T09:56:00Z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