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0A10F8B6"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0B3F73">
        <w:rPr>
          <w:rFonts w:eastAsia="Batang"/>
          <w:szCs w:val="24"/>
        </w:rPr>
        <w:t>05.0</w:t>
      </w:r>
      <w:r w:rsidR="000B3F73">
        <w:rPr>
          <w:rFonts w:eastAsia="Batang"/>
          <w:szCs w:val="24"/>
          <w:lang w:val="en-US"/>
        </w:rPr>
        <w:t>5</w:t>
      </w:r>
      <w:r w:rsidR="005E2B95">
        <w:rPr>
          <w:rFonts w:eastAsia="Batang"/>
          <w:szCs w:val="24"/>
        </w:rPr>
        <w:t xml:space="preserve">.2021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1FADAD3E" w14:textId="09B577E5" w:rsidR="00EF06D9" w:rsidRPr="00EF06D9" w:rsidRDefault="007E6090" w:rsidP="00EF06D9">
      <w:pPr>
        <w:autoSpaceDE w:val="0"/>
        <w:autoSpaceDN w:val="0"/>
        <w:adjustRightInd w:val="0"/>
        <w:jc w:val="both"/>
        <w:rPr>
          <w:rFonts w:eastAsia="Calibri"/>
          <w:szCs w:val="24"/>
          <w:lang w:eastAsia="en-US"/>
        </w:rPr>
      </w:pPr>
      <w:r w:rsidRPr="00EF06D9">
        <w:rPr>
          <w:rFonts w:eastAsia="Calibri"/>
          <w:b/>
          <w:bCs/>
          <w:szCs w:val="24"/>
          <w:lang w:eastAsia="en-US"/>
        </w:rPr>
        <w:t xml:space="preserve"> </w:t>
      </w:r>
      <w:r w:rsidR="00EF06D9" w:rsidRPr="00EF06D9">
        <w:rPr>
          <w:rFonts w:eastAsia="Calibri"/>
          <w:b/>
          <w:bCs/>
          <w:szCs w:val="24"/>
          <w:lang w:eastAsia="en-US"/>
        </w:rPr>
        <w:t>„</w:t>
      </w:r>
      <w:proofErr w:type="spellStart"/>
      <w:r w:rsidR="00EF06D9" w:rsidRPr="00EF06D9">
        <w:rPr>
          <w:rFonts w:eastAsia="Calibri"/>
          <w:b/>
          <w:bCs/>
          <w:szCs w:val="24"/>
          <w:lang w:eastAsia="en-US"/>
        </w:rPr>
        <w:t>Дансон</w:t>
      </w:r>
      <w:proofErr w:type="spellEnd"/>
      <w:r w:rsidR="00EF06D9" w:rsidRPr="00EF06D9">
        <w:rPr>
          <w:rFonts w:eastAsia="Calibri"/>
          <w:b/>
          <w:bCs/>
          <w:szCs w:val="24"/>
          <w:lang w:eastAsia="en-US"/>
        </w:rPr>
        <w:t xml:space="preserve"> - БГ” ООД</w:t>
      </w:r>
      <w:r w:rsidR="00EF06D9" w:rsidRPr="00EF06D9">
        <w:rPr>
          <w:rFonts w:eastAsia="Calibri"/>
          <w:szCs w:val="24"/>
          <w:lang w:eastAsia="en-US"/>
        </w:rPr>
        <w:t>, със седалище и адрес на управление:</w:t>
      </w:r>
      <w:r w:rsidR="000B3F73">
        <w:rPr>
          <w:rFonts w:eastAsia="Calibri"/>
          <w:szCs w:val="24"/>
          <w:lang w:eastAsia="en-US"/>
        </w:rPr>
        <w:t xml:space="preserve"> </w:t>
      </w:r>
      <w:r w:rsidR="00EF06D9" w:rsidRPr="00EF06D9">
        <w:rPr>
          <w:rFonts w:eastAsia="Calibri"/>
          <w:szCs w:val="24"/>
          <w:lang w:eastAsia="en-US"/>
        </w:rPr>
        <w:t>гр. Радомир, ул. Отец Паисий, №26 ,</w:t>
      </w:r>
    </w:p>
    <w:p w14:paraId="74493A32" w14:textId="53022B27" w:rsidR="00A84838" w:rsidRPr="00983A81" w:rsidRDefault="00EF06D9" w:rsidP="00EF06D9">
      <w:pPr>
        <w:autoSpaceDE w:val="0"/>
        <w:autoSpaceDN w:val="0"/>
        <w:adjustRightInd w:val="0"/>
        <w:jc w:val="both"/>
        <w:rPr>
          <w:rFonts w:eastAsia="Calibri"/>
          <w:b/>
          <w:szCs w:val="24"/>
          <w:lang w:eastAsia="en-US"/>
        </w:rPr>
      </w:pPr>
      <w:r w:rsidRPr="00EF06D9">
        <w:rPr>
          <w:rFonts w:eastAsia="Calibri"/>
          <w:szCs w:val="24"/>
          <w:lang w:eastAsia="en-US"/>
        </w:rPr>
        <w:t xml:space="preserve"> ЕИК 203612570 , тел: +35924519300, факс: +35977782391</w:t>
      </w:r>
      <w:r>
        <w:rPr>
          <w:rFonts w:eastAsia="Calibri"/>
          <w:szCs w:val="24"/>
          <w:lang w:eastAsia="en-US"/>
        </w:rPr>
        <w:t xml:space="preserve">, </w:t>
      </w:r>
      <w:r w:rsidRPr="00EF06D9">
        <w:rPr>
          <w:rFonts w:eastAsia="Calibri"/>
          <w:szCs w:val="24"/>
          <w:lang w:eastAsia="en-US"/>
        </w:rPr>
        <w:t xml:space="preserve">представлявано от Стефан Божинов- управител, чрез Пълномощника си </w:t>
      </w:r>
      <w:proofErr w:type="spellStart"/>
      <w:r w:rsidRPr="00EF06D9">
        <w:rPr>
          <w:rFonts w:eastAsia="Calibri"/>
          <w:szCs w:val="24"/>
          <w:lang w:eastAsia="en-US"/>
        </w:rPr>
        <w:t>Севделин</w:t>
      </w:r>
      <w:proofErr w:type="spellEnd"/>
      <w:r w:rsidRPr="00EF06D9">
        <w:rPr>
          <w:rFonts w:eastAsia="Calibri"/>
          <w:szCs w:val="24"/>
          <w:lang w:eastAsia="en-US"/>
        </w:rPr>
        <w:t xml:space="preserve"> Минчев </w:t>
      </w:r>
      <w:proofErr w:type="spellStart"/>
      <w:r w:rsidRPr="00EF06D9">
        <w:rPr>
          <w:rFonts w:eastAsia="Calibri"/>
          <w:szCs w:val="24"/>
          <w:lang w:eastAsia="en-US"/>
        </w:rPr>
        <w:t>Минчев</w:t>
      </w:r>
      <w:proofErr w:type="spellEnd"/>
      <w:r w:rsidRPr="00EF06D9">
        <w:rPr>
          <w:rFonts w:eastAsia="Calibri"/>
          <w:szCs w:val="24"/>
          <w:lang w:eastAsia="en-US"/>
        </w:rPr>
        <w:t xml:space="preserve"> с пълномощно рег.№5372/2020 от 17.11.2020г. на Нотариус в район РС Радомир с рег.№073 на НК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2EFC0B85"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0B3F73">
        <w:rPr>
          <w:rFonts w:eastAsia="Calibri"/>
          <w:bCs/>
          <w:szCs w:val="24"/>
          <w:lang w:eastAsia="en-US"/>
        </w:rPr>
        <w:t xml:space="preserve">о споразумение № </w:t>
      </w:r>
      <w:r w:rsidR="000B3F73">
        <w:t>РД-11-151</w:t>
      </w:r>
      <w:r w:rsidR="00221C42">
        <w:t>/</w:t>
      </w:r>
      <w:r w:rsidR="000B3F73">
        <w:t>19.03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0B3F73" w:rsidRPr="006D0E9A" w14:paraId="15C95E5C" w14:textId="77777777" w:rsidTr="00370F96">
        <w:tc>
          <w:tcPr>
            <w:tcW w:w="519" w:type="dxa"/>
            <w:shd w:val="clear" w:color="auto" w:fill="auto"/>
          </w:tcPr>
          <w:p w14:paraId="5717E23D" w14:textId="77777777" w:rsidR="000B3F73" w:rsidRPr="00C90580" w:rsidRDefault="000B3F73" w:rsidP="000B3F73">
            <w:pPr>
              <w:spacing w:line="480" w:lineRule="auto"/>
              <w:jc w:val="both"/>
              <w:rPr>
                <w:bCs/>
              </w:rPr>
            </w:pPr>
            <w:r w:rsidRPr="00C90580">
              <w:rPr>
                <w:bCs/>
              </w:rPr>
              <w:t>1</w:t>
            </w:r>
          </w:p>
        </w:tc>
        <w:tc>
          <w:tcPr>
            <w:tcW w:w="2497" w:type="dxa"/>
            <w:shd w:val="clear" w:color="auto" w:fill="auto"/>
          </w:tcPr>
          <w:p w14:paraId="4A4F1AEC" w14:textId="7FC225C4" w:rsidR="000B3F73" w:rsidRPr="00C90580" w:rsidRDefault="000B3F73" w:rsidP="000B3F73">
            <w:pPr>
              <w:spacing w:line="480" w:lineRule="auto"/>
              <w:jc w:val="both"/>
              <w:rPr>
                <w:bCs/>
              </w:rPr>
            </w:pPr>
            <w:r>
              <w:rPr>
                <w:rFonts w:ascii="Arial" w:hAnsi="Arial" w:cs="Arial"/>
                <w:color w:val="000000"/>
                <w:sz w:val="23"/>
                <w:szCs w:val="23"/>
                <w:shd w:val="clear" w:color="auto" w:fill="FFFFFF"/>
              </w:rPr>
              <w:t>N01BB02</w:t>
            </w:r>
          </w:p>
        </w:tc>
        <w:tc>
          <w:tcPr>
            <w:tcW w:w="1868" w:type="dxa"/>
            <w:shd w:val="clear" w:color="auto" w:fill="auto"/>
          </w:tcPr>
          <w:p w14:paraId="57C8A4A1" w14:textId="562FC577" w:rsidR="000B3F73" w:rsidRPr="00C90580" w:rsidRDefault="000B3F73" w:rsidP="000B3F73">
            <w:pPr>
              <w:spacing w:line="480" w:lineRule="auto"/>
              <w:jc w:val="both"/>
              <w:rPr>
                <w:bCs/>
              </w:rPr>
            </w:pPr>
            <w:proofErr w:type="spellStart"/>
            <w:r>
              <w:rPr>
                <w:rFonts w:ascii="Arial" w:hAnsi="Arial" w:cs="Arial"/>
                <w:color w:val="000000"/>
                <w:sz w:val="23"/>
                <w:szCs w:val="23"/>
                <w:shd w:val="clear" w:color="auto" w:fill="FFFFFF"/>
              </w:rPr>
              <w:t>Lidocaine</w:t>
            </w:r>
            <w:proofErr w:type="spellEnd"/>
          </w:p>
        </w:tc>
        <w:tc>
          <w:tcPr>
            <w:tcW w:w="1730" w:type="dxa"/>
            <w:shd w:val="clear" w:color="auto" w:fill="auto"/>
          </w:tcPr>
          <w:p w14:paraId="4760869C" w14:textId="01B74A6A" w:rsidR="000B3F73" w:rsidRPr="00C90580" w:rsidRDefault="000B3F73" w:rsidP="000B3F73">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6FAE725D" w:rsidR="000B3F73" w:rsidRPr="00C90580" w:rsidRDefault="000B3F73" w:rsidP="000B3F73">
            <w:pPr>
              <w:spacing w:line="480" w:lineRule="auto"/>
              <w:jc w:val="both"/>
              <w:rPr>
                <w:bCs/>
              </w:rPr>
            </w:pPr>
            <w:proofErr w:type="spellStart"/>
            <w:r w:rsidRPr="00C90580">
              <w:rPr>
                <w:bCs/>
              </w:rPr>
              <w:t>mg</w:t>
            </w:r>
            <w:proofErr w:type="spellEnd"/>
          </w:p>
        </w:tc>
        <w:tc>
          <w:tcPr>
            <w:tcW w:w="1549" w:type="dxa"/>
            <w:shd w:val="clear" w:color="auto" w:fill="auto"/>
          </w:tcPr>
          <w:p w14:paraId="200FB617" w14:textId="126639EC" w:rsidR="000B3F73" w:rsidRPr="006D0E9A" w:rsidRDefault="000B3F73" w:rsidP="000B3F73">
            <w:pPr>
              <w:spacing w:line="480" w:lineRule="auto"/>
              <w:jc w:val="both"/>
              <w:rPr>
                <w:bCs/>
              </w:rPr>
            </w:pPr>
            <w:r>
              <w:rPr>
                <w:bCs/>
              </w:rPr>
              <w:t>2100</w:t>
            </w:r>
          </w:p>
        </w:tc>
      </w:tr>
      <w:tr w:rsidR="000B3F73" w:rsidRPr="006D0E9A" w14:paraId="0C0B3595" w14:textId="77777777" w:rsidTr="000B3F73">
        <w:tc>
          <w:tcPr>
            <w:tcW w:w="519" w:type="dxa"/>
            <w:tcBorders>
              <w:top w:val="single" w:sz="4" w:space="0" w:color="auto"/>
              <w:left w:val="single" w:sz="4" w:space="0" w:color="auto"/>
              <w:bottom w:val="single" w:sz="4" w:space="0" w:color="auto"/>
              <w:right w:val="single" w:sz="4" w:space="0" w:color="auto"/>
            </w:tcBorders>
            <w:shd w:val="clear" w:color="auto" w:fill="auto"/>
          </w:tcPr>
          <w:p w14:paraId="7154E467" w14:textId="7516B1F5" w:rsidR="000B3F73" w:rsidRPr="00C90580" w:rsidRDefault="000B3F73" w:rsidP="000B3F73">
            <w:pPr>
              <w:spacing w:line="480" w:lineRule="auto"/>
              <w:jc w:val="both"/>
              <w:rPr>
                <w:bCs/>
              </w:rPr>
            </w:pPr>
            <w:r>
              <w:rPr>
                <w:bCs/>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0CB47BD" w14:textId="5D144A6F" w:rsidR="000B3F73" w:rsidRPr="000B3F73" w:rsidRDefault="000B3F73" w:rsidP="000B3F73">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N02BB02</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718C1578" w14:textId="6E78614F" w:rsidR="000B3F73" w:rsidRPr="000B3F73" w:rsidRDefault="000B3F73" w:rsidP="000B3F73">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Metamizole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sodium</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6208772" w14:textId="1B39FD80" w:rsidR="000B3F73" w:rsidRPr="000B3F73" w:rsidRDefault="000B3F73" w:rsidP="000B3F73">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8F8D4CA" w14:textId="1ABEDD43" w:rsidR="000B3F73" w:rsidRPr="00C90580" w:rsidRDefault="000B3F73" w:rsidP="000B3F73">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D0821F4" w14:textId="273B0AF0" w:rsidR="000B3F73" w:rsidRPr="006D0E9A" w:rsidRDefault="000B3F73" w:rsidP="000B3F73">
            <w:pPr>
              <w:spacing w:line="480" w:lineRule="auto"/>
              <w:jc w:val="both"/>
              <w:rPr>
                <w:bCs/>
              </w:rPr>
            </w:pPr>
            <w:r w:rsidRPr="0010102C">
              <w:rPr>
                <w:bCs/>
              </w:rPr>
              <w:t>6090000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4FEF21E" w14:textId="77777777" w:rsidR="007E50A5" w:rsidRPr="00983A81" w:rsidRDefault="007E50A5"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3F99AC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w:t>
      </w:r>
      <w:r w:rsidR="00761458" w:rsidRPr="00983A81">
        <w:rPr>
          <w:rFonts w:eastAsia="Calibri"/>
          <w:szCs w:val="24"/>
          <w:lang w:eastAsia="en-US"/>
        </w:rPr>
        <w:lastRenderedPageBreak/>
        <w:t xml:space="preserve">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336FD4A2"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0B3F73">
        <w:rPr>
          <w:rFonts w:eastAsia="Calibri"/>
          <w:szCs w:val="24"/>
          <w:lang w:eastAsia="en-US"/>
        </w:rPr>
        <w:t>2164.20</w:t>
      </w:r>
      <w:r w:rsidR="00221C42">
        <w:rPr>
          <w:rFonts w:eastAsia="Calibri"/>
          <w:szCs w:val="24"/>
          <w:lang w:eastAsia="en-US"/>
        </w:rPr>
        <w:t xml:space="preserve"> </w:t>
      </w:r>
      <w:r w:rsidR="006B39C2" w:rsidRPr="00983A81">
        <w:rPr>
          <w:rFonts w:eastAsia="Calibri"/>
          <w:szCs w:val="24"/>
          <w:lang w:val="en-US" w:eastAsia="en-US"/>
        </w:rPr>
        <w:t xml:space="preserve"> </w:t>
      </w:r>
      <w:r w:rsidR="006B39C2" w:rsidRPr="00983A81">
        <w:rPr>
          <w:rFonts w:eastAsia="Calibri"/>
          <w:szCs w:val="24"/>
          <w:lang w:eastAsia="en-US"/>
        </w:rPr>
        <w:t>(</w:t>
      </w:r>
      <w:r w:rsidR="000B3F73">
        <w:rPr>
          <w:rFonts w:eastAsia="Calibri"/>
          <w:szCs w:val="24"/>
          <w:lang w:eastAsia="en-US"/>
        </w:rPr>
        <w:t xml:space="preserve">две хиляди сто шестдесет и четири </w:t>
      </w:r>
      <w:r w:rsidR="00221C42">
        <w:rPr>
          <w:rFonts w:eastAsia="Calibri"/>
          <w:szCs w:val="24"/>
          <w:lang w:eastAsia="en-US"/>
        </w:rPr>
        <w:t xml:space="preserve">лева и </w:t>
      </w:r>
      <w:r w:rsidR="000B3F73">
        <w:rPr>
          <w:rFonts w:eastAsia="Calibri"/>
          <w:szCs w:val="24"/>
          <w:lang w:eastAsia="en-US"/>
        </w:rPr>
        <w:t>два</w:t>
      </w:r>
      <w:r w:rsidR="00221C42">
        <w:rPr>
          <w:rFonts w:eastAsia="Calibri"/>
          <w:szCs w:val="24"/>
          <w:lang w:eastAsia="en-US"/>
        </w:rPr>
        <w:t>десет стотинки</w:t>
      </w:r>
      <w:r w:rsidR="006B39C2" w:rsidRPr="00983A81">
        <w:rPr>
          <w:rFonts w:eastAsia="Calibri"/>
          <w:szCs w:val="24"/>
          <w:lang w:eastAsia="en-US"/>
        </w:rPr>
        <w:t xml:space="preserve">) лева без включен ДДС и до </w:t>
      </w:r>
      <w:r w:rsidR="000B3F73">
        <w:rPr>
          <w:rFonts w:eastAsia="Calibri"/>
          <w:szCs w:val="24"/>
          <w:lang w:eastAsia="en-US"/>
        </w:rPr>
        <w:t xml:space="preserve">2597.04 </w:t>
      </w:r>
      <w:r w:rsidR="006B39C2" w:rsidRPr="00983A81">
        <w:rPr>
          <w:rFonts w:eastAsia="Calibri"/>
          <w:szCs w:val="24"/>
          <w:lang w:eastAsia="en-US"/>
        </w:rPr>
        <w:t>(</w:t>
      </w:r>
      <w:r w:rsidR="000B3F73">
        <w:rPr>
          <w:rFonts w:eastAsia="Calibri"/>
          <w:szCs w:val="24"/>
          <w:lang w:eastAsia="en-US"/>
        </w:rPr>
        <w:t xml:space="preserve">две </w:t>
      </w:r>
      <w:r w:rsidR="00442036">
        <w:rPr>
          <w:rFonts w:eastAsia="Calibri"/>
          <w:szCs w:val="24"/>
          <w:lang w:eastAsia="en-US"/>
        </w:rPr>
        <w:t xml:space="preserve">хиляди </w:t>
      </w:r>
      <w:r w:rsidR="000B3F73">
        <w:rPr>
          <w:rFonts w:eastAsia="Calibri"/>
          <w:szCs w:val="24"/>
          <w:lang w:eastAsia="en-US"/>
        </w:rPr>
        <w:t>петсто</w:t>
      </w:r>
      <w:r w:rsidR="00442036">
        <w:rPr>
          <w:rFonts w:eastAsia="Calibri"/>
          <w:szCs w:val="24"/>
          <w:lang w:eastAsia="en-US"/>
        </w:rPr>
        <w:t>тин</w:t>
      </w:r>
      <w:r w:rsidR="000B3F73">
        <w:rPr>
          <w:rFonts w:eastAsia="Calibri"/>
          <w:szCs w:val="24"/>
          <w:lang w:eastAsia="en-US"/>
        </w:rPr>
        <w:t xml:space="preserve"> деветдесет и седем </w:t>
      </w:r>
      <w:r w:rsidR="00221C42">
        <w:rPr>
          <w:rFonts w:eastAsia="Calibri"/>
          <w:szCs w:val="24"/>
          <w:lang w:eastAsia="en-US"/>
        </w:rPr>
        <w:t xml:space="preserve">лева и </w:t>
      </w:r>
      <w:r w:rsidR="00442036">
        <w:rPr>
          <w:rFonts w:eastAsia="Calibri"/>
          <w:szCs w:val="24"/>
          <w:lang w:eastAsia="en-US"/>
        </w:rPr>
        <w:t xml:space="preserve">четири </w:t>
      </w:r>
      <w:r w:rsidR="00221C42">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w:t>
      </w:r>
      <w:r w:rsidR="00761458" w:rsidRPr="00983A81">
        <w:rPr>
          <w:rFonts w:eastAsia="Calibri"/>
          <w:szCs w:val="24"/>
          <w:lang w:eastAsia="en-US"/>
        </w:rPr>
        <w:lastRenderedPageBreak/>
        <w:t>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2454F458"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442036">
        <w:rPr>
          <w:rFonts w:eastAsia="Calibri"/>
          <w:b/>
          <w:szCs w:val="24"/>
          <w:lang w:eastAsia="en-US"/>
        </w:rPr>
        <w:t>64</w:t>
      </w:r>
      <w:bookmarkStart w:id="0" w:name="_GoBack"/>
      <w:bookmarkEnd w:id="0"/>
      <w:r w:rsidR="00221C42">
        <w:rPr>
          <w:rFonts w:eastAsia="Calibri"/>
          <w:b/>
          <w:szCs w:val="24"/>
          <w:lang w:eastAsia="en-US"/>
        </w:rPr>
        <w:t xml:space="preserve"> </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lastRenderedPageBreak/>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lastRenderedPageBreak/>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lastRenderedPageBreak/>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0FD0C684" w:rsidR="006B39C2" w:rsidRPr="006C3ADF" w:rsidRDefault="00EF06D9" w:rsidP="00B224F5">
      <w:pPr>
        <w:ind w:firstLine="709"/>
        <w:jc w:val="both"/>
        <w:rPr>
          <w:rFonts w:eastAsia="Calibri"/>
          <w:szCs w:val="24"/>
          <w:lang w:eastAsia="en-US"/>
        </w:rPr>
      </w:pPr>
      <w:r w:rsidRPr="00EF06D9">
        <w:rPr>
          <w:rFonts w:eastAsia="Calibri"/>
          <w:szCs w:val="24"/>
          <w:lang w:eastAsia="en-US"/>
        </w:rPr>
        <w:t xml:space="preserve">ДАНСОН-БГ ООД, </w:t>
      </w:r>
      <w:proofErr w:type="spellStart"/>
      <w:r w:rsidRPr="00EF06D9">
        <w:rPr>
          <w:rFonts w:eastAsia="Calibri"/>
          <w:szCs w:val="24"/>
          <w:lang w:eastAsia="en-US"/>
        </w:rPr>
        <w:t>гр.Радомир</w:t>
      </w:r>
      <w:proofErr w:type="spellEnd"/>
      <w:r w:rsidR="006C3ADF">
        <w:rPr>
          <w:rFonts w:eastAsia="Calibri"/>
          <w:szCs w:val="24"/>
          <w:lang w:eastAsia="en-US"/>
        </w:rPr>
        <w:t xml:space="preserve">       ЦСМП-Враца</w:t>
      </w:r>
    </w:p>
    <w:p w14:paraId="53C0657A" w14:textId="3E992AA4" w:rsidR="00EF06D9" w:rsidRDefault="00EF06D9" w:rsidP="006C3ADF">
      <w:pPr>
        <w:tabs>
          <w:tab w:val="left" w:pos="4395"/>
        </w:tabs>
        <w:ind w:firstLine="709"/>
        <w:jc w:val="both"/>
        <w:rPr>
          <w:rFonts w:eastAsia="Calibri"/>
          <w:szCs w:val="24"/>
          <w:lang w:eastAsia="en-US"/>
        </w:rPr>
      </w:pPr>
      <w:proofErr w:type="spellStart"/>
      <w:r w:rsidRPr="00EF06D9">
        <w:rPr>
          <w:rFonts w:eastAsia="Calibri"/>
          <w:szCs w:val="24"/>
          <w:lang w:eastAsia="en-US"/>
        </w:rPr>
        <w:t>ул</w:t>
      </w:r>
      <w:proofErr w:type="spellEnd"/>
      <w:r w:rsidRPr="00EF06D9">
        <w:rPr>
          <w:rFonts w:eastAsia="Calibri"/>
          <w:szCs w:val="24"/>
          <w:lang w:eastAsia="en-US"/>
        </w:rPr>
        <w:t>.“Отец Паисий“ № 26</w:t>
      </w:r>
      <w:r w:rsidR="006C3ADF">
        <w:rPr>
          <w:rFonts w:eastAsia="Calibri"/>
          <w:szCs w:val="24"/>
          <w:lang w:eastAsia="en-US"/>
        </w:rPr>
        <w:tab/>
        <w:t>бул. Втори юни № 68</w:t>
      </w:r>
    </w:p>
    <w:p w14:paraId="428752BC" w14:textId="3F3FCF88" w:rsidR="00EF06D9" w:rsidRDefault="00EF06D9" w:rsidP="006C3ADF">
      <w:pPr>
        <w:tabs>
          <w:tab w:val="left" w:pos="4395"/>
        </w:tabs>
        <w:ind w:firstLine="709"/>
        <w:jc w:val="both"/>
        <w:rPr>
          <w:rFonts w:eastAsia="Calibri"/>
          <w:szCs w:val="24"/>
          <w:lang w:eastAsia="en-US"/>
        </w:rPr>
      </w:pPr>
      <w:r w:rsidRPr="00EF06D9">
        <w:rPr>
          <w:rFonts w:eastAsia="Calibri"/>
          <w:szCs w:val="24"/>
          <w:lang w:eastAsia="en-US"/>
        </w:rPr>
        <w:t>e-</w:t>
      </w:r>
      <w:proofErr w:type="spellStart"/>
      <w:r w:rsidRPr="00EF06D9">
        <w:rPr>
          <w:rFonts w:eastAsia="Calibri"/>
          <w:szCs w:val="24"/>
          <w:lang w:eastAsia="en-US"/>
        </w:rPr>
        <w:t>mail</w:t>
      </w:r>
      <w:proofErr w:type="spellEnd"/>
      <w:r w:rsidRPr="00EF06D9">
        <w:rPr>
          <w:rFonts w:eastAsia="Calibri"/>
          <w:szCs w:val="24"/>
          <w:lang w:eastAsia="en-US"/>
        </w:rPr>
        <w:t xml:space="preserve">: </w:t>
      </w:r>
      <w:hyperlink r:id="rId9" w:history="1">
        <w:r w:rsidRPr="006C3ADF">
          <w:rPr>
            <w:rStyle w:val="a7"/>
            <w:rFonts w:eastAsia="Calibri"/>
            <w:color w:val="auto"/>
            <w:szCs w:val="24"/>
            <w:u w:val="none"/>
            <w:lang w:eastAsia="en-US"/>
          </w:rPr>
          <w:t>orders@danhson.com</w:t>
        </w:r>
      </w:hyperlink>
      <w:r w:rsidR="006C3ADF" w:rsidRPr="006C3ADF">
        <w:rPr>
          <w:rStyle w:val="a7"/>
          <w:rFonts w:eastAsia="Calibri"/>
          <w:color w:val="auto"/>
          <w:szCs w:val="24"/>
          <w:u w:val="none"/>
          <w:lang w:eastAsia="en-US"/>
        </w:rPr>
        <w:tab/>
        <w:t xml:space="preserve"> гр. Враца</w:t>
      </w:r>
    </w:p>
    <w:p w14:paraId="5C7DC7BE" w14:textId="77777777" w:rsidR="00EF06D9" w:rsidRPr="00EF06D9" w:rsidRDefault="00EF06D9" w:rsidP="00EF06D9">
      <w:pPr>
        <w:ind w:firstLine="709"/>
        <w:jc w:val="both"/>
        <w:rPr>
          <w:rFonts w:eastAsia="Calibri"/>
          <w:szCs w:val="24"/>
          <w:lang w:eastAsia="en-US"/>
        </w:rPr>
      </w:pPr>
      <w:r w:rsidRPr="00EF06D9">
        <w:rPr>
          <w:rFonts w:eastAsia="Calibri"/>
          <w:szCs w:val="24"/>
          <w:lang w:eastAsia="en-US"/>
        </w:rPr>
        <w:t xml:space="preserve">IBAN: BG47UNCR70001522341862 </w:t>
      </w:r>
    </w:p>
    <w:p w14:paraId="6064AEDF" w14:textId="77777777" w:rsidR="00EF06D9" w:rsidRPr="00EF06D9" w:rsidRDefault="00EF06D9" w:rsidP="00EF06D9">
      <w:pPr>
        <w:ind w:firstLine="709"/>
        <w:jc w:val="both"/>
        <w:rPr>
          <w:rFonts w:eastAsia="Calibri"/>
          <w:szCs w:val="24"/>
          <w:lang w:eastAsia="en-US"/>
        </w:rPr>
      </w:pPr>
      <w:r w:rsidRPr="00EF06D9">
        <w:rPr>
          <w:rFonts w:eastAsia="Calibri"/>
          <w:szCs w:val="24"/>
          <w:lang w:eastAsia="en-US"/>
        </w:rPr>
        <w:t xml:space="preserve">BIC: UNCRBGSF </w:t>
      </w:r>
    </w:p>
    <w:p w14:paraId="39CB0732" w14:textId="0E09719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Уникредит Булбанк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lastRenderedPageBreak/>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33EE6F98"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r w:rsidR="00EF06D9">
        <w:rPr>
          <w:rFonts w:eastAsia="Batang"/>
          <w:b/>
          <w:szCs w:val="24"/>
        </w:rPr>
        <w:t>Стефан Божинов-управител/чрез Пълномощника д-р Севдалин Минчев/</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D1BA54D" w:rsidR="006C3ADF" w:rsidRPr="006C3ADF" w:rsidRDefault="006C3ADF" w:rsidP="006C3ADF">
      <w:pPr>
        <w:rPr>
          <w:rFonts w:eastAsia="Batang"/>
          <w:b/>
          <w:szCs w:val="24"/>
        </w:rPr>
      </w:pPr>
      <w:r w:rsidRPr="006C3ADF">
        <w:rPr>
          <w:rFonts w:eastAsia="Batang"/>
          <w:b/>
          <w:szCs w:val="24"/>
        </w:rPr>
        <w:t>Главен счетоводител</w:t>
      </w:r>
    </w:p>
    <w:sectPr w:rsidR="006C3ADF" w:rsidRPr="006C3ADF"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B3F73"/>
    <w:rsid w:val="000D038A"/>
    <w:rsid w:val="000D3043"/>
    <w:rsid w:val="0012419D"/>
    <w:rsid w:val="001439B6"/>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036"/>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39C2"/>
    <w:rsid w:val="006C2A9B"/>
    <w:rsid w:val="006C3ADF"/>
    <w:rsid w:val="007305C0"/>
    <w:rsid w:val="00761458"/>
    <w:rsid w:val="007622C8"/>
    <w:rsid w:val="007833B0"/>
    <w:rsid w:val="00791C92"/>
    <w:rsid w:val="007D55A5"/>
    <w:rsid w:val="007E50A5"/>
    <w:rsid w:val="007E5B52"/>
    <w:rsid w:val="007E6090"/>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rders@danh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3.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65272-7E5D-4C7C-8C04-9DB90125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3396</Words>
  <Characters>19358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11</cp:revision>
  <cp:lastPrinted>2021-01-28T16:23:00Z</cp:lastPrinted>
  <dcterms:created xsi:type="dcterms:W3CDTF">2021-03-19T10:56:00Z</dcterms:created>
  <dcterms:modified xsi:type="dcterms:W3CDTF">2021-04-29T07:34:00Z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